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Behavior and Regulation Incident Summary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calmer incident-summary template for recording what happened, what support was used, and what patterns matter without sounding dramatic or vague.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Incident basics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DATE / TIME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HAPPENED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WHO WAS PRESENT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Build-up and likely triggers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HAPPENED BEFORE THE INCIDENT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POSSIBLE OVERLOAD FACTORS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MAY HAVE CONTRIBUTED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Support used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WAS TRIED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HELPED MOST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DID NOT HELP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Follow-through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THE FAMILY SHOULD KNOW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TO WATCH NEXT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TO ADJUST IF IT HAPPENS AGAIN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