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Monthly Care Alignment Meeting Template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calmer, more professional worksheet for recurring caregiver-family check-ins and clearer agreements.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284035"/>
        </w:rPr>
        <w:t xml:space="preserve">What this helps you do: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> Use this to keep monthly check-ins from becoming vague or emotional. The goal is clear decisions, clearer expectations, and less assumption buildup.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284035"/>
        </w:rPr>
        <w:t xml:space="preserve">Manageable first move: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> If a full meeting feels too heavy, begin by writing what is working, what changed, and what needs clarification.</w:t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is working well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CURRENT WINS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CALMER ROUTINES OR PATTERNS TO KEEP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HELPING MOST RIGHT 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should improve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FRICTION AREAS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MISUNDERSTANDINGS TO RESOLVE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SUPPORT OR CLARIFICATION NEEDED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changed recently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SCHEDULE CHANGES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BEHAVIOR OR CARE SHIFTS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PRIORITY CHANGES AFFECTING THE MONTH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Agreements made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NEW EXPECTATIONS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COMMUNICATION UPDATES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NEXT REVIEW DATE AND OWNER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495750"/>
        </w:rPr>
        <w:t xml:space="preserve">CalmCare worksheet — designed for filling out, printing, and bringing into real caregiver-family conversations.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