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2"/>
          <w:sz-cs w:val="22"/>
          <w:b/>
          <w:spacing w:val="0"/>
          <w:color w:val="284035"/>
        </w:rPr>
        <w:t xml:space="preserve">CALMCARE GUIDED WORKSHEET</w:t>
      </w:r>
    </w:p>
    <w:p>
      <w:pPr>
        <w:spacing w:after="160"/>
      </w:pPr>
      <w:r>
        <w:rPr>
          <w:rFonts w:ascii="Helvetica" w:hAnsi="Helvetica" w:cs="Helvetica"/>
          <w:sz w:val="56"/>
          <w:sz-cs w:val="56"/>
          <w:b/>
          <w:spacing w:val="0"/>
          <w:color w:val="1B2420"/>
        </w:rPr>
        <w:t xml:space="preserve">New Family Onboarding Plan</w:t>
      </w:r>
    </w:p>
    <w:p>
      <w:pPr>
        <w:spacing w:after="280"/>
      </w:pPr>
      <w:r>
        <w:rPr>
          <w:rFonts w:ascii="Helvetica" w:hAnsi="Helvetica" w:cs="Helvetica"/>
          <w:sz w:val="28"/>
          <w:sz-cs w:val="28"/>
          <w:spacing w:val="0"/>
          <w:color w:val="495750"/>
        </w:rPr>
        <w:t xml:space="preserve">A startup worksheet for helping a new caregiver-family relationship become clear, trusted, and easier to align with in the first weeks.</w:t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Name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Date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Week-one essentials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SCHEDULE AND HOURS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HANDOFF FLOW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FOOD / ROUTINE BASICS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Household norms and expectations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CLEANUP STANDARDS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PRIVACY / SHARED-SPACE NORMS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INDEPENDENT DECISION RULES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Communication plan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DAILY UPDATES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URGENT ISSUES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WHEN TO DO THE FIRST REVIEW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Early trust-building checks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WOULD HELP TRUST GROW FASTER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WHERE CONFUSION IS MOST LIKELY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TO REVISIT AFTER WEEK ONE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